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5E40" w14:textId="77777777" w:rsidR="004810C7" w:rsidRDefault="004810C7" w:rsidP="003E4FDE">
      <w:pPr>
        <w:shd w:val="clear" w:color="auto" w:fill="F8F8F8"/>
        <w:spacing w:after="0" w:line="240" w:lineRule="auto"/>
        <w:rPr>
          <w:rFonts w:ascii="Helvetica" w:eastAsia="Times New Roman" w:hAnsi="Helvetica" w:cs="Helvetica"/>
          <w:color w:val="8C8C8C"/>
          <w:sz w:val="24"/>
          <w:szCs w:val="24"/>
          <w:lang w:eastAsia="it-IT"/>
        </w:rPr>
      </w:pPr>
    </w:p>
    <w:p w14:paraId="56CFC014" w14:textId="651ED132" w:rsidR="003E4FDE" w:rsidRPr="003E4FDE" w:rsidRDefault="003E4FDE" w:rsidP="003E4FDE">
      <w:pPr>
        <w:shd w:val="clear" w:color="auto" w:fill="F8F8F8"/>
        <w:spacing w:after="0"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Il diritto all’accesso civico consiste nella possibilità, per i cittadini, di accedere a dati, documenti e informazioni detenuti dalle pubbliche amministrazioni o dai concessionari di servizi pubblici.</w:t>
      </w:r>
      <w:r w:rsidRPr="003E4FDE">
        <w:rPr>
          <w:rFonts w:ascii="Helvetica" w:eastAsia="Times New Roman" w:hAnsi="Helvetica" w:cs="Helvetica"/>
          <w:color w:val="8C8C8C"/>
          <w:sz w:val="24"/>
          <w:szCs w:val="24"/>
          <w:lang w:eastAsia="it-IT"/>
        </w:rPr>
        <w:br/>
        <w:t>Tale diritto riguarda tanto i dati che sono oggetto di pubblicazione obbligatoria (</w:t>
      </w:r>
      <w:r w:rsidRPr="003E4FDE">
        <w:rPr>
          <w:rFonts w:ascii="Helvetica" w:eastAsia="Times New Roman" w:hAnsi="Helvetica" w:cs="Helvetica"/>
          <w:b/>
          <w:bCs/>
          <w:color w:val="8C8C8C"/>
          <w:sz w:val="24"/>
          <w:szCs w:val="24"/>
          <w:lang w:eastAsia="it-IT"/>
        </w:rPr>
        <w:t>accesso civico semplice</w:t>
      </w:r>
      <w:r w:rsidRPr="003E4FDE">
        <w:rPr>
          <w:rFonts w:ascii="Helvetica" w:eastAsia="Times New Roman" w:hAnsi="Helvetica" w:cs="Helvetica"/>
          <w:color w:val="8C8C8C"/>
          <w:sz w:val="24"/>
          <w:szCs w:val="24"/>
          <w:lang w:eastAsia="it-IT"/>
        </w:rPr>
        <w:t> – laddove i medesimi dati non risultino pubblicati), quanto ogni altro dato (</w:t>
      </w:r>
      <w:r w:rsidRPr="003E4FDE">
        <w:rPr>
          <w:rFonts w:ascii="Helvetica" w:eastAsia="Times New Roman" w:hAnsi="Helvetica" w:cs="Helvetica"/>
          <w:b/>
          <w:bCs/>
          <w:color w:val="8C8C8C"/>
          <w:sz w:val="24"/>
          <w:szCs w:val="24"/>
          <w:lang w:eastAsia="it-IT"/>
        </w:rPr>
        <w:t>accesso generalizzato</w:t>
      </w:r>
      <w:r w:rsidRPr="003E4FDE">
        <w:rPr>
          <w:rFonts w:ascii="Helvetica" w:eastAsia="Times New Roman" w:hAnsi="Helvetica" w:cs="Helvetica"/>
          <w:color w:val="8C8C8C"/>
          <w:sz w:val="24"/>
          <w:szCs w:val="24"/>
          <w:lang w:eastAsia="it-IT"/>
        </w:rPr>
        <w:t>).</w:t>
      </w:r>
      <w:r w:rsidRPr="003E4FDE">
        <w:rPr>
          <w:rFonts w:ascii="Helvetica" w:eastAsia="Times New Roman" w:hAnsi="Helvetica" w:cs="Helvetica"/>
          <w:color w:val="8C8C8C"/>
          <w:sz w:val="24"/>
          <w:szCs w:val="24"/>
          <w:lang w:eastAsia="it-IT"/>
        </w:rPr>
        <w:br/>
        <w:t>In caso di accesso generalizzato la richiesta è possibile nei limiti previsti dalla legge a tutela di altri interessi pubblici e/o privati, </w:t>
      </w:r>
      <w:r w:rsidRPr="003E4FDE">
        <w:rPr>
          <w:rFonts w:ascii="Helvetica" w:eastAsia="Times New Roman" w:hAnsi="Helvetica" w:cs="Helvetica"/>
          <w:i/>
          <w:iCs/>
          <w:color w:val="8C8C8C"/>
          <w:sz w:val="24"/>
          <w:szCs w:val="24"/>
          <w:lang w:eastAsia="it-IT"/>
        </w:rPr>
        <w:t>ex</w:t>
      </w:r>
      <w:r w:rsidRPr="003E4FDE">
        <w:rPr>
          <w:rFonts w:ascii="Helvetica" w:eastAsia="Times New Roman" w:hAnsi="Helvetica" w:cs="Helvetica"/>
          <w:color w:val="8C8C8C"/>
          <w:sz w:val="24"/>
          <w:szCs w:val="24"/>
          <w:lang w:eastAsia="it-IT"/>
        </w:rPr>
        <w:t> art. 5 bis del d.lgs. n. 33/2013, ovvero l’accesso è rifiutato se il diniego è necessario per evitare un pregiudizio concreto alla tutela di uno dei seguenti interessi privati: la protezione dei dati personali, in conformità con la disciplina legislativa in materia; la libertà e la segretezza della corrispondenza; gli interessi economici e commerciali di una persona fisica o giuridica, ivi compresi la proprietà intellettuale, il diritto d'autore e i segreti commerciali.</w:t>
      </w:r>
      <w:r w:rsidRPr="003E4FDE">
        <w:rPr>
          <w:rFonts w:ascii="Helvetica" w:eastAsia="Times New Roman" w:hAnsi="Helvetica" w:cs="Helvetica"/>
          <w:color w:val="8C8C8C"/>
          <w:sz w:val="24"/>
          <w:szCs w:val="24"/>
          <w:lang w:eastAsia="it-IT"/>
        </w:rPr>
        <w:br/>
        <w:t>Si precisa che le strutture sanitarie accreditate ed a contratto con il Servizio Sanitario Nazionale sono soggette al diritto di accesso civico in relazione ai soli dati, documenti e informazioni relativi allo svolgimento dell’attività di pubblica utilità, fatte salve le disposizioni in materia di privacy.</w:t>
      </w:r>
      <w:r w:rsidRPr="003E4FDE">
        <w:rPr>
          <w:rFonts w:ascii="Helvetica" w:eastAsia="Times New Roman" w:hAnsi="Helvetica" w:cs="Helvetica"/>
          <w:color w:val="8C8C8C"/>
          <w:sz w:val="24"/>
          <w:szCs w:val="24"/>
          <w:lang w:eastAsia="it-IT"/>
        </w:rPr>
        <w:br/>
        <w:t>La richiesta deve consentire alla Fondazione di individuare il dato, il documento o l’informazione che si intende acquisire. Nel caso di richiesta relativa a un numero manifestamente irragionevole di documenti, tale da imporre un carico di lavoro suscettibile di compromettere il buon funzionamento della struttura sanitaria, la stessa può respingerla per tutelare il buon andamento dell’attività amministrativa (Linee guida Agenzia nazionale anticorruzione-</w:t>
      </w:r>
      <w:proofErr w:type="spellStart"/>
      <w:r w:rsidRPr="003E4FDE">
        <w:rPr>
          <w:rFonts w:ascii="Helvetica" w:eastAsia="Times New Roman" w:hAnsi="Helvetica" w:cs="Helvetica"/>
          <w:color w:val="8C8C8C"/>
          <w:sz w:val="24"/>
          <w:szCs w:val="24"/>
          <w:lang w:eastAsia="it-IT"/>
        </w:rPr>
        <w:t>Anac</w:t>
      </w:r>
      <w:proofErr w:type="spellEnd"/>
      <w:r w:rsidRPr="003E4FDE">
        <w:rPr>
          <w:rFonts w:ascii="Helvetica" w:eastAsia="Times New Roman" w:hAnsi="Helvetica" w:cs="Helvetica"/>
          <w:color w:val="8C8C8C"/>
          <w:sz w:val="24"/>
          <w:szCs w:val="24"/>
          <w:lang w:eastAsia="it-IT"/>
        </w:rPr>
        <w:t xml:space="preserve"> su accesso civico generalizzato, paragrafo 4.2).</w:t>
      </w:r>
    </w:p>
    <w:p w14:paraId="7B08AC48" w14:textId="77777777" w:rsidR="003E4FDE" w:rsidRPr="003E4FDE" w:rsidRDefault="003E4FDE" w:rsidP="003E4FDE">
      <w:pPr>
        <w:shd w:val="clear" w:color="auto" w:fill="F8F8F8"/>
        <w:spacing w:before="100" w:beforeAutospacing="1" w:after="100" w:afterAutospacing="1" w:line="312" w:lineRule="atLeast"/>
        <w:outlineLvl w:val="3"/>
        <w:rPr>
          <w:rFonts w:ascii="Helvetica" w:eastAsia="Times New Roman" w:hAnsi="Helvetica" w:cs="Helvetica"/>
          <w:b/>
          <w:bCs/>
          <w:color w:val="2F4484"/>
          <w:sz w:val="24"/>
          <w:szCs w:val="24"/>
          <w:lang w:eastAsia="it-IT"/>
        </w:rPr>
      </w:pPr>
      <w:r w:rsidRPr="003E4FDE">
        <w:rPr>
          <w:rFonts w:ascii="Helvetica" w:eastAsia="Times New Roman" w:hAnsi="Helvetica" w:cs="Helvetica"/>
          <w:b/>
          <w:bCs/>
          <w:color w:val="2F4484"/>
          <w:sz w:val="24"/>
          <w:szCs w:val="24"/>
          <w:lang w:eastAsia="it-IT"/>
        </w:rPr>
        <w:t>Modalità per la richiesta dell’accesso civico:</w:t>
      </w:r>
    </w:p>
    <w:p w14:paraId="16C65160" w14:textId="77777777" w:rsidR="003E4FDE" w:rsidRPr="003E4FDE" w:rsidRDefault="003E4FDE" w:rsidP="003E4FDE">
      <w:pPr>
        <w:shd w:val="clear" w:color="auto" w:fill="F8F8F8"/>
        <w:spacing w:after="0"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L’istanza di accesso civico generalizzato di dati, informazioni o documenti ulteriori rispetto a quelli sottoposti a obbligo di pubblicazione non richiede motivazione.</w:t>
      </w:r>
    </w:p>
    <w:p w14:paraId="512C963B" w14:textId="358B2B50" w:rsidR="003E4FDE" w:rsidRPr="003E4FDE" w:rsidRDefault="003E4FDE" w:rsidP="003E4FDE">
      <w:pPr>
        <w:shd w:val="clear" w:color="auto" w:fill="F8F8F8"/>
        <w:spacing w:after="0"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L’istanza può essere trasmessa compilando il modulo allegato (</w:t>
      </w:r>
      <w:hyperlink r:id="rId5" w:history="1">
        <w:r w:rsidR="006901B2">
          <w:rPr>
            <w:rFonts w:ascii="Helvetica" w:eastAsia="Times New Roman" w:hAnsi="Helvetica" w:cs="Helvetica"/>
            <w:color w:val="2F4484"/>
            <w:sz w:val="24"/>
            <w:szCs w:val="24"/>
            <w:u w:val="single"/>
            <w:lang w:eastAsia="it-IT"/>
          </w:rPr>
          <w:t>Modello</w:t>
        </w:r>
      </w:hyperlink>
      <w:r w:rsidR="006901B2">
        <w:rPr>
          <w:rFonts w:ascii="Helvetica" w:eastAsia="Times New Roman" w:hAnsi="Helvetica" w:cs="Helvetica"/>
          <w:color w:val="2F4484"/>
          <w:sz w:val="24"/>
          <w:szCs w:val="24"/>
          <w:u w:val="single"/>
          <w:lang w:eastAsia="it-IT"/>
        </w:rPr>
        <w:t xml:space="preserve"> accesso civico RSA Fontanella</w:t>
      </w:r>
      <w:r w:rsidRPr="003E4FDE">
        <w:rPr>
          <w:rFonts w:ascii="Helvetica" w:eastAsia="Times New Roman" w:hAnsi="Helvetica" w:cs="Helvetica"/>
          <w:color w:val="8C8C8C"/>
          <w:sz w:val="24"/>
          <w:szCs w:val="24"/>
          <w:lang w:eastAsia="it-IT"/>
        </w:rPr>
        <w:t>), indirizzato alla Fondazione, secondo le seguenti modalità:</w:t>
      </w:r>
    </w:p>
    <w:p w14:paraId="368C44C7" w14:textId="324FB667" w:rsidR="003E4FDE" w:rsidRPr="003E4FDE" w:rsidRDefault="003E4FDE" w:rsidP="003E4FDE">
      <w:pPr>
        <w:numPr>
          <w:ilvl w:val="0"/>
          <w:numId w:val="1"/>
        </w:numPr>
        <w:shd w:val="clear" w:color="auto" w:fill="F8F8F8"/>
        <w:spacing w:before="100" w:beforeAutospacing="1" w:after="100" w:afterAutospacing="1"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tramite PEC </w:t>
      </w:r>
      <w:hyperlink r:id="rId6" w:history="1">
        <w:r w:rsidR="009B2120" w:rsidRPr="00B305A1">
          <w:rPr>
            <w:rStyle w:val="Collegamentoipertestuale"/>
            <w:rFonts w:ascii="Helvetica" w:eastAsia="Times New Roman" w:hAnsi="Helvetica" w:cs="Helvetica"/>
            <w:sz w:val="24"/>
            <w:szCs w:val="24"/>
            <w:lang w:eastAsia="it-IT"/>
          </w:rPr>
          <w:t>domusedera.fontanella@pec.it</w:t>
        </w:r>
      </w:hyperlink>
      <w:r w:rsidRPr="003E4FDE">
        <w:rPr>
          <w:rFonts w:ascii="Helvetica" w:eastAsia="Times New Roman" w:hAnsi="Helvetica" w:cs="Helvetica"/>
          <w:color w:val="8C8C8C"/>
          <w:sz w:val="24"/>
          <w:szCs w:val="24"/>
          <w:lang w:eastAsia="it-IT"/>
        </w:rPr>
        <w:t>,</w:t>
      </w:r>
    </w:p>
    <w:p w14:paraId="3E375CFC" w14:textId="7D8D09D4" w:rsidR="003E4FDE" w:rsidRPr="003E4FDE" w:rsidRDefault="003E4FDE" w:rsidP="003E4FDE">
      <w:pPr>
        <w:numPr>
          <w:ilvl w:val="0"/>
          <w:numId w:val="1"/>
        </w:numPr>
        <w:shd w:val="clear" w:color="auto" w:fill="F8F8F8"/>
        <w:spacing w:before="100" w:beforeAutospacing="1" w:after="100" w:afterAutospacing="1"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 xml:space="preserve">tramite raccomandata AR all’indirizzo: via </w:t>
      </w:r>
      <w:r w:rsidR="009B2120">
        <w:rPr>
          <w:rFonts w:ascii="Helvetica" w:eastAsia="Times New Roman" w:hAnsi="Helvetica" w:cs="Helvetica"/>
          <w:color w:val="8C8C8C"/>
          <w:sz w:val="24"/>
          <w:szCs w:val="24"/>
          <w:lang w:eastAsia="it-IT"/>
        </w:rPr>
        <w:t>Vittorio Emanuele II</w:t>
      </w:r>
      <w:r w:rsidRPr="003E4FDE">
        <w:rPr>
          <w:rFonts w:ascii="Helvetica" w:eastAsia="Times New Roman" w:hAnsi="Helvetica" w:cs="Helvetica"/>
          <w:color w:val="8C8C8C"/>
          <w:sz w:val="24"/>
          <w:szCs w:val="24"/>
          <w:lang w:eastAsia="it-IT"/>
        </w:rPr>
        <w:t xml:space="preserve">, </w:t>
      </w:r>
      <w:r w:rsidR="009B2120">
        <w:rPr>
          <w:rFonts w:ascii="Helvetica" w:eastAsia="Times New Roman" w:hAnsi="Helvetica" w:cs="Helvetica"/>
          <w:color w:val="8C8C8C"/>
          <w:sz w:val="24"/>
          <w:szCs w:val="24"/>
          <w:lang w:eastAsia="it-IT"/>
        </w:rPr>
        <w:t>227</w:t>
      </w:r>
      <w:r w:rsidRPr="003E4FDE">
        <w:rPr>
          <w:rFonts w:ascii="Helvetica" w:eastAsia="Times New Roman" w:hAnsi="Helvetica" w:cs="Helvetica"/>
          <w:color w:val="8C8C8C"/>
          <w:sz w:val="24"/>
          <w:szCs w:val="24"/>
          <w:lang w:eastAsia="it-IT"/>
        </w:rPr>
        <w:t xml:space="preserve"> – 24</w:t>
      </w:r>
      <w:r w:rsidR="009B2120">
        <w:rPr>
          <w:rFonts w:ascii="Helvetica" w:eastAsia="Times New Roman" w:hAnsi="Helvetica" w:cs="Helvetica"/>
          <w:color w:val="8C8C8C"/>
          <w:sz w:val="24"/>
          <w:szCs w:val="24"/>
          <w:lang w:eastAsia="it-IT"/>
        </w:rPr>
        <w:t>056</w:t>
      </w:r>
      <w:r w:rsidRPr="003E4FDE">
        <w:rPr>
          <w:rFonts w:ascii="Helvetica" w:eastAsia="Times New Roman" w:hAnsi="Helvetica" w:cs="Helvetica"/>
          <w:color w:val="8C8C8C"/>
          <w:sz w:val="24"/>
          <w:szCs w:val="24"/>
          <w:lang w:eastAsia="it-IT"/>
        </w:rPr>
        <w:t xml:space="preserve"> </w:t>
      </w:r>
      <w:r w:rsidR="009B2120">
        <w:rPr>
          <w:rFonts w:ascii="Helvetica" w:eastAsia="Times New Roman" w:hAnsi="Helvetica" w:cs="Helvetica"/>
          <w:color w:val="8C8C8C"/>
          <w:sz w:val="24"/>
          <w:szCs w:val="24"/>
          <w:lang w:eastAsia="it-IT"/>
        </w:rPr>
        <w:t>Fontanella (BG)</w:t>
      </w:r>
      <w:r w:rsidRPr="003E4FDE">
        <w:rPr>
          <w:rFonts w:ascii="Helvetica" w:eastAsia="Times New Roman" w:hAnsi="Helvetica" w:cs="Helvetica"/>
          <w:color w:val="8C8C8C"/>
          <w:sz w:val="24"/>
          <w:szCs w:val="24"/>
          <w:lang w:eastAsia="it-IT"/>
        </w:rPr>
        <w:t>.</w:t>
      </w:r>
    </w:p>
    <w:p w14:paraId="6CF70F74" w14:textId="77777777" w:rsidR="003E4FDE" w:rsidRPr="003E4FDE" w:rsidRDefault="003E4FDE" w:rsidP="003E4FDE">
      <w:pPr>
        <w:shd w:val="clear" w:color="auto" w:fill="F8F8F8"/>
        <w:spacing w:after="0"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Il rilascio di dati o documenti in formato digitale o cartaceo è gratuito, salvo il rimborso del costo effettivamente sostenuto e documentato dalla Fondazione per la riproduzione su supporti materiali, nonché delle spese postali.</w:t>
      </w:r>
    </w:p>
    <w:p w14:paraId="5D18C229" w14:textId="0A5A70B9" w:rsidR="003E4FDE" w:rsidRPr="003E4FDE" w:rsidRDefault="003E4FDE" w:rsidP="003E4FDE">
      <w:pPr>
        <w:shd w:val="clear" w:color="auto" w:fill="F8F8F8"/>
        <w:spacing w:after="0" w:line="240" w:lineRule="auto"/>
        <w:rPr>
          <w:rFonts w:ascii="Helvetica" w:eastAsia="Times New Roman" w:hAnsi="Helvetica" w:cs="Helvetica"/>
          <w:color w:val="8C8C8C"/>
          <w:sz w:val="21"/>
          <w:szCs w:val="21"/>
          <w:lang w:eastAsia="it-IT"/>
        </w:rPr>
      </w:pPr>
      <w:r w:rsidRPr="003E4FDE">
        <w:rPr>
          <w:rFonts w:ascii="Helvetica" w:eastAsia="Times New Roman" w:hAnsi="Helvetica" w:cs="Helvetica"/>
          <w:color w:val="8C8C8C"/>
          <w:sz w:val="24"/>
          <w:szCs w:val="24"/>
          <w:lang w:eastAsia="it-IT"/>
        </w:rPr>
        <w:t xml:space="preserve">La Fondazione, nella figura del </w:t>
      </w:r>
      <w:r w:rsidR="009B2120">
        <w:rPr>
          <w:rFonts w:ascii="Helvetica" w:eastAsia="Times New Roman" w:hAnsi="Helvetica" w:cs="Helvetica"/>
          <w:color w:val="8C8C8C"/>
          <w:sz w:val="24"/>
          <w:szCs w:val="24"/>
          <w:lang w:eastAsia="it-IT"/>
        </w:rPr>
        <w:t>Segretario</w:t>
      </w:r>
      <w:r w:rsidRPr="003E4FDE">
        <w:rPr>
          <w:rFonts w:ascii="Helvetica" w:eastAsia="Times New Roman" w:hAnsi="Helvetica" w:cs="Helvetica"/>
          <w:color w:val="8C8C8C"/>
          <w:sz w:val="24"/>
          <w:szCs w:val="24"/>
          <w:lang w:eastAsia="it-IT"/>
        </w:rPr>
        <w:t>, valuterà la pertinenza della richiesta in rapporto alle attività di pubblico interesse e esprimerà l’accoglimento o il diniego in merito alla richiesta.</w:t>
      </w:r>
    </w:p>
    <w:p w14:paraId="2FE717EE" w14:textId="77777777" w:rsidR="006A0B19" w:rsidRDefault="006A0B19"/>
    <w:sectPr w:rsidR="006A0B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34"/>
    <w:multiLevelType w:val="multilevel"/>
    <w:tmpl w:val="2954D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767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ED"/>
    <w:rsid w:val="003E4FDE"/>
    <w:rsid w:val="004810C7"/>
    <w:rsid w:val="006901B2"/>
    <w:rsid w:val="006A0B19"/>
    <w:rsid w:val="008D0EED"/>
    <w:rsid w:val="009B2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9AEE"/>
  <w15:chartTrackingRefBased/>
  <w15:docId w15:val="{BF76E02D-5C60-4306-9D52-EC16EE6B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3E4F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E4FD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E4F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4FDE"/>
    <w:rPr>
      <w:b/>
      <w:bCs/>
    </w:rPr>
  </w:style>
  <w:style w:type="character" w:styleId="Enfasicorsivo">
    <w:name w:val="Emphasis"/>
    <w:basedOn w:val="Carpredefinitoparagrafo"/>
    <w:uiPriority w:val="20"/>
    <w:qFormat/>
    <w:rsid w:val="003E4FDE"/>
    <w:rPr>
      <w:i/>
      <w:iCs/>
    </w:rPr>
  </w:style>
  <w:style w:type="character" w:styleId="Collegamentoipertestuale">
    <w:name w:val="Hyperlink"/>
    <w:basedOn w:val="Carpredefinitoparagrafo"/>
    <w:uiPriority w:val="99"/>
    <w:unhideWhenUsed/>
    <w:rsid w:val="003E4FDE"/>
    <w:rPr>
      <w:color w:val="0000FF"/>
      <w:u w:val="single"/>
    </w:rPr>
  </w:style>
  <w:style w:type="character" w:styleId="Menzionenonrisolta">
    <w:name w:val="Unresolved Mention"/>
    <w:basedOn w:val="Carpredefinitoparagrafo"/>
    <w:uiPriority w:val="99"/>
    <w:semiHidden/>
    <w:unhideWhenUsed/>
    <w:rsid w:val="009B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usedera.fontanella@pec.it" TargetMode="External"/><Relationship Id="rId5" Type="http://schemas.openxmlformats.org/officeDocument/2006/relationships/hyperlink" Target="http://www.fondazionecarisma.it/wp-content/uploads/2020/10/MOD.SGSI_.20-richiesta-accesso-civic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Bergamelli</dc:creator>
  <cp:keywords/>
  <dc:description/>
  <cp:lastModifiedBy>Lorenzo Bergamelli</cp:lastModifiedBy>
  <cp:revision>5</cp:revision>
  <dcterms:created xsi:type="dcterms:W3CDTF">2022-05-31T10:34:00Z</dcterms:created>
  <dcterms:modified xsi:type="dcterms:W3CDTF">2022-06-09T08:27:00Z</dcterms:modified>
</cp:coreProperties>
</file>